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0D1241"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14</w:t>
      </w:r>
      <w:r w:rsidR="00546A8A" w:rsidRPr="00546A8A">
        <w:rPr>
          <w:rFonts w:ascii="Arial" w:eastAsia="Times New Roman" w:hAnsi="Arial" w:cs="Arial"/>
          <w:b/>
          <w:color w:val="595959" w:themeColor="text1" w:themeTint="A6"/>
          <w:sz w:val="28"/>
          <w:szCs w:val="28"/>
          <w:lang w:eastAsia="ru-RU"/>
        </w:rPr>
        <w:t>.</w:t>
      </w:r>
      <w:r w:rsidR="00012340">
        <w:rPr>
          <w:rFonts w:ascii="Arial" w:eastAsia="Times New Roman" w:hAnsi="Arial" w:cs="Arial"/>
          <w:b/>
          <w:color w:val="595959" w:themeColor="text1" w:themeTint="A6"/>
          <w:sz w:val="28"/>
          <w:szCs w:val="28"/>
          <w:lang w:val="en-US" w:eastAsia="ru-RU"/>
        </w:rPr>
        <w:t>0</w:t>
      </w:r>
      <w:r>
        <w:rPr>
          <w:rFonts w:ascii="Arial" w:eastAsia="Times New Roman" w:hAnsi="Arial" w:cs="Arial"/>
          <w:b/>
          <w:color w:val="595959" w:themeColor="text1" w:themeTint="A6"/>
          <w:sz w:val="28"/>
          <w:szCs w:val="28"/>
          <w:lang w:eastAsia="ru-RU"/>
        </w:rPr>
        <w:t>5</w:t>
      </w:r>
      <w:r w:rsidR="00546A8A" w:rsidRPr="00546A8A">
        <w:rPr>
          <w:rFonts w:ascii="Arial" w:eastAsia="Times New Roman" w:hAnsi="Arial" w:cs="Arial"/>
          <w:b/>
          <w:color w:val="595959" w:themeColor="text1" w:themeTint="A6"/>
          <w:sz w:val="28"/>
          <w:szCs w:val="28"/>
          <w:lang w:eastAsia="ru-RU"/>
        </w:rPr>
        <w:t>.201</w:t>
      </w:r>
      <w:r w:rsidR="00012340">
        <w:rPr>
          <w:rFonts w:ascii="Arial" w:eastAsia="Times New Roman" w:hAnsi="Arial" w:cs="Arial"/>
          <w:b/>
          <w:color w:val="595959" w:themeColor="text1" w:themeTint="A6"/>
          <w:sz w:val="28"/>
          <w:szCs w:val="28"/>
          <w:lang w:val="en-US" w:eastAsia="ru-RU"/>
        </w:rPr>
        <w:t>8</w:t>
      </w:r>
      <w:r w:rsidR="00546A8A" w:rsidRPr="00546A8A">
        <w:rPr>
          <w:rFonts w:ascii="Arial" w:eastAsia="Times New Roman" w:hAnsi="Arial" w:cs="Arial"/>
          <w:b/>
          <w:color w:val="595959" w:themeColor="text1" w:themeTint="A6"/>
          <w:sz w:val="28"/>
          <w:szCs w:val="28"/>
          <w:lang w:eastAsia="ru-RU"/>
        </w:rPr>
        <w:t xml:space="preserve">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Default="00AE68B8" w:rsidP="00AE68B8">
      <w:pPr>
        <w:rPr>
          <w:rFonts w:ascii="Arial" w:hAnsi="Arial" w:cs="Arial"/>
          <w:sz w:val="24"/>
          <w:szCs w:val="24"/>
        </w:rPr>
      </w:pPr>
    </w:p>
    <w:p w:rsidR="00AE68B8" w:rsidRPr="00AE68B8" w:rsidRDefault="00AE68B8" w:rsidP="00AE68B8">
      <w:pPr>
        <w:spacing w:line="360" w:lineRule="auto"/>
        <w:jc w:val="both"/>
        <w:rPr>
          <w:rFonts w:ascii="Arial" w:eastAsia="Times New Roman" w:hAnsi="Arial" w:cs="Arial"/>
          <w:color w:val="595959" w:themeColor="text1" w:themeTint="A6"/>
          <w:sz w:val="24"/>
          <w:szCs w:val="24"/>
          <w:lang w:eastAsia="zh-CN"/>
        </w:rPr>
      </w:pPr>
      <w:r>
        <w:rPr>
          <w:rFonts w:ascii="Arial" w:hAnsi="Arial" w:cs="Arial"/>
          <w:sz w:val="24"/>
          <w:szCs w:val="24"/>
        </w:rPr>
        <w:tab/>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г. Нальчик, ул</w:t>
      </w:r>
      <w:r w:rsidR="000D1241">
        <w:rPr>
          <w:rFonts w:ascii="Arial" w:eastAsia="Times New Roman" w:hAnsi="Arial" w:cs="Arial"/>
          <w:b/>
          <w:color w:val="595959" w:themeColor="text1" w:themeTint="A6"/>
          <w:sz w:val="24"/>
          <w:szCs w:val="24"/>
          <w:lang w:eastAsia="ru-RU"/>
        </w:rPr>
        <w:t xml:space="preserve">. </w:t>
      </w:r>
      <w:proofErr w:type="spellStart"/>
      <w:r w:rsidR="000D1241">
        <w:rPr>
          <w:rFonts w:ascii="Arial" w:eastAsia="Times New Roman" w:hAnsi="Arial" w:cs="Arial"/>
          <w:b/>
          <w:color w:val="595959" w:themeColor="text1" w:themeTint="A6"/>
          <w:sz w:val="24"/>
          <w:szCs w:val="24"/>
          <w:lang w:eastAsia="ru-RU"/>
        </w:rPr>
        <w:t>Пачева</w:t>
      </w:r>
      <w:proofErr w:type="spellEnd"/>
      <w:r w:rsidR="000D1241">
        <w:rPr>
          <w:rFonts w:ascii="Arial" w:eastAsia="Times New Roman" w:hAnsi="Arial" w:cs="Arial"/>
          <w:b/>
          <w:color w:val="595959" w:themeColor="text1" w:themeTint="A6"/>
          <w:sz w:val="24"/>
          <w:szCs w:val="24"/>
          <w:lang w:eastAsia="ru-RU"/>
        </w:rPr>
        <w:t xml:space="preserve"> 19</w:t>
      </w:r>
      <w:r w:rsidRPr="00AE68B8">
        <w:rPr>
          <w:rFonts w:ascii="Arial" w:eastAsia="Times New Roman" w:hAnsi="Arial" w:cs="Arial"/>
          <w:b/>
          <w:color w:val="595959" w:themeColor="text1" w:themeTint="A6"/>
          <w:sz w:val="24"/>
          <w:szCs w:val="24"/>
          <w:lang w:eastAsia="ru-RU"/>
        </w:rPr>
        <w:t xml:space="preserve">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E</w:t>
      </w:r>
      <w:r w:rsidRPr="000D1241">
        <w:rPr>
          <w:rFonts w:ascii="Arial" w:eastAsia="Times New Roman" w:hAnsi="Arial" w:cs="Arial"/>
          <w:b/>
          <w:color w:val="595959" w:themeColor="text1" w:themeTint="A6"/>
          <w:sz w:val="24"/>
          <w:szCs w:val="24"/>
          <w:lang w:eastAsia="ru-RU"/>
        </w:rPr>
        <w:t>-</w:t>
      </w:r>
      <w:r w:rsidRPr="00AE68B8">
        <w:rPr>
          <w:rFonts w:ascii="Arial" w:eastAsia="Times New Roman" w:hAnsi="Arial" w:cs="Arial"/>
          <w:b/>
          <w:color w:val="595959" w:themeColor="text1" w:themeTint="A6"/>
          <w:sz w:val="24"/>
          <w:szCs w:val="24"/>
          <w:lang w:val="en-US" w:eastAsia="ru-RU"/>
        </w:rPr>
        <w:t>mail</w:t>
      </w:r>
      <w:r w:rsidRPr="000D1241">
        <w:rPr>
          <w:rFonts w:ascii="Arial" w:eastAsia="Times New Roman" w:hAnsi="Arial" w:cs="Arial"/>
          <w:b/>
          <w:color w:val="595959" w:themeColor="text1" w:themeTint="A6"/>
          <w:sz w:val="24"/>
          <w:szCs w:val="24"/>
          <w:lang w:eastAsia="ru-RU"/>
        </w:rPr>
        <w:t xml:space="preserve">: </w:t>
      </w:r>
      <w:proofErr w:type="spellStart"/>
      <w:r w:rsidRPr="00AE68B8">
        <w:rPr>
          <w:rFonts w:ascii="Arial" w:eastAsia="Times New Roman" w:hAnsi="Arial" w:cs="Arial"/>
          <w:b/>
          <w:color w:val="595959" w:themeColor="text1" w:themeTint="A6"/>
          <w:sz w:val="24"/>
          <w:szCs w:val="24"/>
          <w:u w:val="single"/>
          <w:lang w:val="en-US" w:eastAsia="ru-RU"/>
        </w:rPr>
        <w:t>opfr</w:t>
      </w:r>
      <w:proofErr w:type="spellEnd"/>
      <w:r w:rsidRPr="000D1241">
        <w:rPr>
          <w:rFonts w:ascii="Arial" w:eastAsia="Times New Roman" w:hAnsi="Arial" w:cs="Arial"/>
          <w:b/>
          <w:color w:val="595959" w:themeColor="text1" w:themeTint="A6"/>
          <w:sz w:val="24"/>
          <w:szCs w:val="24"/>
          <w:u w:val="single"/>
          <w:lang w:eastAsia="ru-RU"/>
        </w:rPr>
        <w:t>_</w:t>
      </w:r>
      <w:r w:rsidRPr="00AE68B8">
        <w:rPr>
          <w:rFonts w:ascii="Arial" w:eastAsia="Times New Roman" w:hAnsi="Arial" w:cs="Arial"/>
          <w:b/>
          <w:color w:val="595959" w:themeColor="text1" w:themeTint="A6"/>
          <w:sz w:val="24"/>
          <w:szCs w:val="24"/>
          <w:u w:val="single"/>
          <w:lang w:val="en-US" w:eastAsia="ru-RU"/>
        </w:rPr>
        <w:t>po_kbr@mail.ru</w:t>
      </w:r>
    </w:p>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bookmarkStart w:id="0" w:name="_GoBack"/>
      <w:bookmarkEnd w:id="0"/>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012340"/>
    <w:rsid w:val="000D1241"/>
    <w:rsid w:val="002157E5"/>
    <w:rsid w:val="004B337E"/>
    <w:rsid w:val="00546A8A"/>
    <w:rsid w:val="005C3425"/>
    <w:rsid w:val="00924688"/>
    <w:rsid w:val="00AE68B8"/>
    <w:rsid w:val="00BA67DE"/>
    <w:rsid w:val="00D47494"/>
    <w:rsid w:val="00D91AEB"/>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2526</Characters>
  <Application>Microsoft Office Word</Application>
  <DocSecurity>0</DocSecurity>
  <Lines>21</Lines>
  <Paragraphs>5</Paragraphs>
  <ScaleCrop>false</ScaleCrop>
  <Company>Kraftway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11</cp:revision>
  <dcterms:created xsi:type="dcterms:W3CDTF">2017-09-25T08:23:00Z</dcterms:created>
  <dcterms:modified xsi:type="dcterms:W3CDTF">2018-05-14T09:06:00Z</dcterms:modified>
</cp:coreProperties>
</file>